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7DD" w:rsidRDefault="009127DD" w:rsidP="009127DD">
      <w:pPr>
        <w:widowControl w:val="0"/>
        <w:autoSpaceDE w:val="0"/>
        <w:autoSpaceDN w:val="0"/>
        <w:adjustRightInd w:val="0"/>
        <w:rPr>
          <w:rFonts w:ascii="Arial" w:hAnsi="Arial" w:cs="Arial"/>
          <w:color w:val="1A1A1A"/>
          <w:sz w:val="26"/>
          <w:szCs w:val="26"/>
        </w:rPr>
      </w:pPr>
      <w:bookmarkStart w:id="0" w:name="_GoBack"/>
      <w:r>
        <w:rPr>
          <w:rFonts w:ascii="Arial" w:hAnsi="Arial" w:cs="Arial"/>
          <w:color w:val="1F3A65"/>
          <w:sz w:val="26"/>
          <w:szCs w:val="26"/>
        </w:rPr>
        <w:t xml:space="preserve">LC Glossary on Inclusiveness and Compliance </w:t>
      </w:r>
      <w:bookmarkEnd w:id="0"/>
      <w:r>
        <w:rPr>
          <w:rFonts w:ascii="Arial" w:hAnsi="Arial" w:cs="Arial"/>
          <w:color w:val="1F3A65"/>
          <w:sz w:val="26"/>
          <w:szCs w:val="26"/>
        </w:rPr>
        <w:t>from Office of Compliance:</w:t>
      </w:r>
    </w:p>
    <w:p w:rsidR="009127DD" w:rsidRDefault="009127DD" w:rsidP="009127DD">
      <w:pPr>
        <w:widowControl w:val="0"/>
        <w:autoSpaceDE w:val="0"/>
        <w:autoSpaceDN w:val="0"/>
        <w:adjustRightInd w:val="0"/>
        <w:rPr>
          <w:rFonts w:ascii="Arial" w:hAnsi="Arial" w:cs="Arial"/>
          <w:color w:val="1A1A1A"/>
          <w:sz w:val="26"/>
          <w:szCs w:val="26"/>
        </w:rPr>
      </w:pPr>
      <w:r>
        <w:rPr>
          <w:rFonts w:ascii="Arial" w:hAnsi="Arial" w:cs="Arial"/>
          <w:color w:val="1F3A65"/>
          <w:sz w:val="26"/>
          <w:szCs w:val="26"/>
        </w:rPr>
        <w:t> </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64"/>
          <w:szCs w:val="64"/>
        </w:rPr>
        <w:t>Glossary</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Like many other fields, EEO and diversity has its own special terminology. The terms “equal employment opportunity,” “affirmative employment” and “diversity” are often used interchangeably; however, they hold separate meanings.  The definitions given below are key to understanding the lexicon of EEO and diversity.</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This Glossary lists terms directly related to the Library’s EEO process, as well as terms that may be used in training, court decisions, management discussions, or literature on EEO and diversity.</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 xml:space="preserve">To understand terminology related to anti-discrimination statutes, see </w:t>
      </w:r>
      <w:hyperlink r:id="rId6" w:history="1">
        <w:r>
          <w:rPr>
            <w:rFonts w:ascii="Times New Roman" w:hAnsi="Times New Roman" w:cs="Times New Roman"/>
            <w:color w:val="1B48B7"/>
            <w:sz w:val="32"/>
            <w:szCs w:val="32"/>
            <w:u w:val="single" w:color="1B48B7"/>
          </w:rPr>
          <w:t>Types of Discrimination</w:t>
        </w:r>
      </w:hyperlink>
      <w:r>
        <w:rPr>
          <w:rFonts w:ascii="Times New Roman" w:hAnsi="Times New Roman" w:cs="Times New Roman"/>
          <w:color w:val="1A1A1A"/>
          <w:sz w:val="32"/>
          <w:szCs w:val="32"/>
        </w:rPr>
        <w:t>.</w:t>
      </w:r>
    </w:p>
    <w:p w:rsidR="009127DD" w:rsidRDefault="009127DD" w:rsidP="009127DD">
      <w:pPr>
        <w:widowControl w:val="0"/>
        <w:autoSpaceDE w:val="0"/>
        <w:autoSpaceDN w:val="0"/>
        <w:adjustRightInd w:val="0"/>
        <w:jc w:val="center"/>
        <w:rPr>
          <w:rFonts w:ascii="Arial" w:hAnsi="Arial" w:cs="Arial"/>
          <w:color w:val="370D3D"/>
          <w:sz w:val="26"/>
          <w:szCs w:val="26"/>
        </w:rPr>
      </w:pPr>
      <w:hyperlink r:id="rId7" w:history="1">
        <w:r>
          <w:rPr>
            <w:rFonts w:ascii="Times New Roman" w:hAnsi="Times New Roman" w:cs="Times New Roman"/>
            <w:color w:val="1B48B7"/>
            <w:sz w:val="32"/>
            <w:szCs w:val="32"/>
            <w:u w:val="single" w:color="1B48B7"/>
          </w:rPr>
          <w:t>A</w:t>
        </w:r>
      </w:hyperlink>
      <w:r>
        <w:rPr>
          <w:rFonts w:ascii="Times New Roman" w:hAnsi="Times New Roman" w:cs="Times New Roman"/>
          <w:color w:val="370D3D"/>
          <w:sz w:val="32"/>
          <w:szCs w:val="32"/>
        </w:rPr>
        <w:t xml:space="preserve"> | </w:t>
      </w:r>
      <w:hyperlink r:id="rId8" w:history="1">
        <w:r>
          <w:rPr>
            <w:rFonts w:ascii="Times New Roman" w:hAnsi="Times New Roman" w:cs="Times New Roman"/>
            <w:color w:val="1B48B7"/>
            <w:sz w:val="32"/>
            <w:szCs w:val="32"/>
            <w:u w:val="single" w:color="1B48B7"/>
          </w:rPr>
          <w:t>B</w:t>
        </w:r>
      </w:hyperlink>
      <w:r>
        <w:rPr>
          <w:rFonts w:ascii="Times New Roman" w:hAnsi="Times New Roman" w:cs="Times New Roman"/>
          <w:color w:val="370D3D"/>
          <w:sz w:val="32"/>
          <w:szCs w:val="32"/>
        </w:rPr>
        <w:t xml:space="preserve"> | </w:t>
      </w:r>
      <w:hyperlink r:id="rId9" w:history="1">
        <w:r>
          <w:rPr>
            <w:rFonts w:ascii="Times New Roman" w:hAnsi="Times New Roman" w:cs="Times New Roman"/>
            <w:color w:val="1B48B7"/>
            <w:sz w:val="32"/>
            <w:szCs w:val="32"/>
            <w:u w:val="single" w:color="1B48B7"/>
          </w:rPr>
          <w:t>C</w:t>
        </w:r>
      </w:hyperlink>
      <w:r>
        <w:rPr>
          <w:rFonts w:ascii="Times New Roman" w:hAnsi="Times New Roman" w:cs="Times New Roman"/>
          <w:color w:val="370D3D"/>
          <w:sz w:val="32"/>
          <w:szCs w:val="32"/>
        </w:rPr>
        <w:t xml:space="preserve"> | </w:t>
      </w:r>
      <w:hyperlink r:id="rId10" w:history="1">
        <w:r>
          <w:rPr>
            <w:rFonts w:ascii="Times New Roman" w:hAnsi="Times New Roman" w:cs="Times New Roman"/>
            <w:color w:val="1B48B7"/>
            <w:sz w:val="32"/>
            <w:szCs w:val="32"/>
            <w:u w:val="single" w:color="1B48B7"/>
          </w:rPr>
          <w:t>D</w:t>
        </w:r>
      </w:hyperlink>
      <w:r>
        <w:rPr>
          <w:rFonts w:ascii="Times New Roman" w:hAnsi="Times New Roman" w:cs="Times New Roman"/>
          <w:color w:val="370D3D"/>
          <w:sz w:val="32"/>
          <w:szCs w:val="32"/>
        </w:rPr>
        <w:t xml:space="preserve"> | </w:t>
      </w:r>
      <w:hyperlink r:id="rId11" w:history="1">
        <w:r>
          <w:rPr>
            <w:rFonts w:ascii="Times New Roman" w:hAnsi="Times New Roman" w:cs="Times New Roman"/>
            <w:color w:val="1B48B7"/>
            <w:sz w:val="32"/>
            <w:szCs w:val="32"/>
            <w:u w:val="single" w:color="1B48B7"/>
          </w:rPr>
          <w:t>E</w:t>
        </w:r>
      </w:hyperlink>
      <w:r>
        <w:rPr>
          <w:rFonts w:ascii="Times New Roman" w:hAnsi="Times New Roman" w:cs="Times New Roman"/>
          <w:color w:val="370D3D"/>
          <w:sz w:val="32"/>
          <w:szCs w:val="32"/>
        </w:rPr>
        <w:t xml:space="preserve"> | F | </w:t>
      </w:r>
      <w:hyperlink r:id="rId12" w:history="1">
        <w:r>
          <w:rPr>
            <w:rFonts w:ascii="Times New Roman" w:hAnsi="Times New Roman" w:cs="Times New Roman"/>
            <w:color w:val="1B48B7"/>
            <w:sz w:val="32"/>
            <w:szCs w:val="32"/>
            <w:u w:val="single" w:color="1B48B7"/>
          </w:rPr>
          <w:t>G</w:t>
        </w:r>
      </w:hyperlink>
      <w:r>
        <w:rPr>
          <w:rFonts w:ascii="Times New Roman" w:hAnsi="Times New Roman" w:cs="Times New Roman"/>
          <w:color w:val="370D3D"/>
          <w:sz w:val="32"/>
          <w:szCs w:val="32"/>
        </w:rPr>
        <w:t xml:space="preserve"> | H | I | J | K | </w:t>
      </w:r>
      <w:hyperlink r:id="rId13" w:history="1">
        <w:r>
          <w:rPr>
            <w:rFonts w:ascii="Times New Roman" w:hAnsi="Times New Roman" w:cs="Times New Roman"/>
            <w:color w:val="1B48B7"/>
            <w:sz w:val="32"/>
            <w:szCs w:val="32"/>
            <w:u w:val="single" w:color="1B48B7"/>
          </w:rPr>
          <w:t>L</w:t>
        </w:r>
      </w:hyperlink>
      <w:r>
        <w:rPr>
          <w:rFonts w:ascii="Times New Roman" w:hAnsi="Times New Roman" w:cs="Times New Roman"/>
          <w:color w:val="370D3D"/>
          <w:sz w:val="32"/>
          <w:szCs w:val="32"/>
        </w:rPr>
        <w:t xml:space="preserve"> | M | N | O | </w:t>
      </w:r>
      <w:hyperlink r:id="rId14" w:history="1">
        <w:r>
          <w:rPr>
            <w:rFonts w:ascii="Times New Roman" w:hAnsi="Times New Roman" w:cs="Times New Roman"/>
            <w:color w:val="1B48B7"/>
            <w:sz w:val="32"/>
            <w:szCs w:val="32"/>
            <w:u w:val="single" w:color="1B48B7"/>
          </w:rPr>
          <w:t>P</w:t>
        </w:r>
      </w:hyperlink>
      <w:r>
        <w:rPr>
          <w:rFonts w:ascii="Times New Roman" w:hAnsi="Times New Roman" w:cs="Times New Roman"/>
          <w:color w:val="370D3D"/>
          <w:sz w:val="32"/>
          <w:szCs w:val="32"/>
        </w:rPr>
        <w:t xml:space="preserve"> | Q | </w:t>
      </w:r>
      <w:hyperlink r:id="rId15" w:history="1">
        <w:r>
          <w:rPr>
            <w:rFonts w:ascii="Times New Roman" w:hAnsi="Times New Roman" w:cs="Times New Roman"/>
            <w:color w:val="1B48B7"/>
            <w:sz w:val="32"/>
            <w:szCs w:val="32"/>
            <w:u w:val="single" w:color="1B48B7"/>
          </w:rPr>
          <w:t>R</w:t>
        </w:r>
      </w:hyperlink>
      <w:r>
        <w:rPr>
          <w:rFonts w:ascii="Times New Roman" w:hAnsi="Times New Roman" w:cs="Times New Roman"/>
          <w:color w:val="370D3D"/>
          <w:sz w:val="32"/>
          <w:szCs w:val="32"/>
        </w:rPr>
        <w:t xml:space="preserve"> | </w:t>
      </w:r>
      <w:hyperlink r:id="rId16" w:history="1">
        <w:r>
          <w:rPr>
            <w:rFonts w:ascii="Times New Roman" w:hAnsi="Times New Roman" w:cs="Times New Roman"/>
            <w:color w:val="1B48B7"/>
            <w:sz w:val="32"/>
            <w:szCs w:val="32"/>
            <w:u w:val="single" w:color="1B48B7"/>
          </w:rPr>
          <w:t>S</w:t>
        </w:r>
      </w:hyperlink>
      <w:r>
        <w:rPr>
          <w:rFonts w:ascii="Times New Roman" w:hAnsi="Times New Roman" w:cs="Times New Roman"/>
          <w:color w:val="370D3D"/>
          <w:sz w:val="32"/>
          <w:szCs w:val="32"/>
        </w:rPr>
        <w:t xml:space="preserve"> | T | </w:t>
      </w:r>
      <w:hyperlink r:id="rId17" w:history="1">
        <w:r>
          <w:rPr>
            <w:rFonts w:ascii="Times New Roman" w:hAnsi="Times New Roman" w:cs="Times New Roman"/>
            <w:color w:val="1B48B7"/>
            <w:sz w:val="32"/>
            <w:szCs w:val="32"/>
            <w:u w:val="single" w:color="1B48B7"/>
          </w:rPr>
          <w:t>U</w:t>
        </w:r>
      </w:hyperlink>
      <w:r>
        <w:rPr>
          <w:rFonts w:ascii="Times New Roman" w:hAnsi="Times New Roman" w:cs="Times New Roman"/>
          <w:color w:val="370D3D"/>
          <w:sz w:val="32"/>
          <w:szCs w:val="32"/>
        </w:rPr>
        <w:t xml:space="preserve"> | V | </w:t>
      </w:r>
      <w:hyperlink r:id="rId18" w:history="1">
        <w:r>
          <w:rPr>
            <w:rFonts w:ascii="Times New Roman" w:hAnsi="Times New Roman" w:cs="Times New Roman"/>
            <w:color w:val="1B48B7"/>
            <w:sz w:val="32"/>
            <w:szCs w:val="32"/>
            <w:u w:val="single" w:color="1B48B7"/>
          </w:rPr>
          <w:t>W</w:t>
        </w:r>
      </w:hyperlink>
      <w:r>
        <w:rPr>
          <w:rFonts w:ascii="Times New Roman" w:hAnsi="Times New Roman" w:cs="Times New Roman"/>
          <w:color w:val="370D3D"/>
          <w:sz w:val="32"/>
          <w:szCs w:val="32"/>
        </w:rPr>
        <w:t xml:space="preserve"> | X | Y | Z</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B48B7"/>
          <w:sz w:val="32"/>
          <w:szCs w:val="32"/>
        </w:rPr>
        <w:t>A</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Accessibility</w:t>
      </w:r>
    </w:p>
    <w:p w:rsidR="009127DD" w:rsidRDefault="009127DD" w:rsidP="009127DD">
      <w:pPr>
        <w:widowControl w:val="0"/>
        <w:autoSpaceDE w:val="0"/>
        <w:autoSpaceDN w:val="0"/>
        <w:adjustRightInd w:val="0"/>
        <w:rPr>
          <w:rFonts w:ascii="Arial" w:hAnsi="Arial" w:cs="Arial"/>
          <w:color w:val="1A1A1A"/>
          <w:sz w:val="26"/>
          <w:szCs w:val="26"/>
        </w:rPr>
      </w:pPr>
      <w:proofErr w:type="gramStart"/>
      <w:r>
        <w:rPr>
          <w:rFonts w:ascii="Times New Roman" w:hAnsi="Times New Roman" w:cs="Times New Roman"/>
          <w:color w:val="1A1A1A"/>
          <w:sz w:val="32"/>
          <w:szCs w:val="32"/>
        </w:rPr>
        <w:t>A barrier-free environment (site, building, or portion) in which the approach, entrance, or use of physically disabled persons is not inhibited by architectural design.</w:t>
      </w:r>
      <w:proofErr w:type="gramEnd"/>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Affirmative Action Plan / Diversity Management Plan</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A planned document containing affirmative steps designed to eliminate under-representation and to overcome the effects of past or present exclusionary practices, policies, or other barriers to equal employment opportunity. Such steps include, but are not limited to the following:</w:t>
      </w:r>
    </w:p>
    <w:p w:rsidR="009127DD" w:rsidRDefault="009127DD" w:rsidP="009127DD">
      <w:pPr>
        <w:widowControl w:val="0"/>
        <w:numPr>
          <w:ilvl w:val="0"/>
          <w:numId w:val="1"/>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32"/>
          <w:szCs w:val="32"/>
        </w:rPr>
        <w:t xml:space="preserve">The </w:t>
      </w:r>
      <w:proofErr w:type="gramStart"/>
      <w:r>
        <w:rPr>
          <w:rFonts w:ascii="Times New Roman" w:hAnsi="Times New Roman" w:cs="Times New Roman"/>
          <w:color w:val="1A1A1A"/>
          <w:sz w:val="32"/>
          <w:szCs w:val="32"/>
        </w:rPr>
        <w:t>establishment of long and short range</w:t>
      </w:r>
      <w:proofErr w:type="gramEnd"/>
      <w:r>
        <w:rPr>
          <w:rFonts w:ascii="Times New Roman" w:hAnsi="Times New Roman" w:cs="Times New Roman"/>
          <w:color w:val="1A1A1A"/>
          <w:sz w:val="32"/>
          <w:szCs w:val="32"/>
        </w:rPr>
        <w:t>, interim goals and timetables for specific underrepresented job series. The plan should take into account the availability of qualified persons in the relevant labor market;</w:t>
      </w:r>
    </w:p>
    <w:p w:rsidR="009127DD" w:rsidRDefault="009127DD" w:rsidP="009127DD">
      <w:pPr>
        <w:widowControl w:val="0"/>
        <w:numPr>
          <w:ilvl w:val="0"/>
          <w:numId w:val="1"/>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32"/>
          <w:szCs w:val="32"/>
        </w:rPr>
        <w:t>A recruitment program designed to attract qualified members of the affected group;</w:t>
      </w:r>
    </w:p>
    <w:p w:rsidR="009127DD" w:rsidRDefault="009127DD" w:rsidP="009127DD">
      <w:pPr>
        <w:widowControl w:val="0"/>
        <w:numPr>
          <w:ilvl w:val="0"/>
          <w:numId w:val="1"/>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32"/>
          <w:szCs w:val="32"/>
        </w:rPr>
        <w:t xml:space="preserve">The initiation of measures designed to assure that members of an affected group who are qualified to perform the job are included within the pool of persons from which a selecting official makes a </w:t>
      </w:r>
      <w:r>
        <w:rPr>
          <w:rFonts w:ascii="Times New Roman" w:hAnsi="Times New Roman" w:cs="Times New Roman"/>
          <w:color w:val="1A1A1A"/>
          <w:sz w:val="32"/>
          <w:szCs w:val="32"/>
        </w:rPr>
        <w:lastRenderedPageBreak/>
        <w:t>selection;</w:t>
      </w:r>
    </w:p>
    <w:p w:rsidR="009127DD" w:rsidRDefault="009127DD" w:rsidP="009127DD">
      <w:pPr>
        <w:widowControl w:val="0"/>
        <w:numPr>
          <w:ilvl w:val="0"/>
          <w:numId w:val="1"/>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32"/>
          <w:szCs w:val="32"/>
        </w:rPr>
        <w:t xml:space="preserve">A systematic effort to provide career advancement training, both classroom and </w:t>
      </w:r>
      <w:proofErr w:type="spellStart"/>
      <w:r>
        <w:rPr>
          <w:rFonts w:ascii="Times New Roman" w:hAnsi="Times New Roman" w:cs="Times New Roman"/>
          <w:color w:val="1A1A1A"/>
          <w:sz w:val="32"/>
          <w:szCs w:val="32"/>
        </w:rPr>
        <w:t>on-the­job</w:t>
      </w:r>
      <w:proofErr w:type="spellEnd"/>
      <w:r>
        <w:rPr>
          <w:rFonts w:ascii="Times New Roman" w:hAnsi="Times New Roman" w:cs="Times New Roman"/>
          <w:color w:val="1A1A1A"/>
          <w:sz w:val="32"/>
          <w:szCs w:val="32"/>
        </w:rPr>
        <w:t>, to underrepresented employees who demonstrate potential for advancement; and</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The establishment of a system for regularly monitoring and evaluating the effectiveness of the affirmative action program, and procedures for making timely adjustments where results are not demonstrated.</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Availability</w:t>
      </w:r>
    </w:p>
    <w:p w:rsidR="009127DD" w:rsidRDefault="009127DD" w:rsidP="009127DD">
      <w:pPr>
        <w:widowControl w:val="0"/>
        <w:autoSpaceDE w:val="0"/>
        <w:autoSpaceDN w:val="0"/>
        <w:adjustRightInd w:val="0"/>
        <w:rPr>
          <w:rFonts w:ascii="Arial" w:hAnsi="Arial" w:cs="Arial"/>
          <w:color w:val="1A1A1A"/>
          <w:sz w:val="26"/>
          <w:szCs w:val="26"/>
        </w:rPr>
      </w:pPr>
      <w:proofErr w:type="gramStart"/>
      <w:r>
        <w:rPr>
          <w:rFonts w:ascii="Times New Roman" w:hAnsi="Times New Roman" w:cs="Times New Roman"/>
          <w:color w:val="1A1A1A"/>
          <w:sz w:val="32"/>
          <w:szCs w:val="32"/>
        </w:rPr>
        <w:t>The presence of qualified persons “ready, willing, and able to work” in the civilian labor force.</w:t>
      </w:r>
      <w:proofErr w:type="gramEnd"/>
      <w:r>
        <w:rPr>
          <w:rFonts w:ascii="Times New Roman" w:hAnsi="Times New Roman" w:cs="Times New Roman"/>
          <w:color w:val="1A1A1A"/>
          <w:sz w:val="32"/>
          <w:szCs w:val="32"/>
        </w:rPr>
        <w:t>  This data is used in setting goals and determining under-representation. There are several basic measures of availability, including but not limited to, occupational parity and relevant labor force parity.</w:t>
      </w:r>
    </w:p>
    <w:p w:rsidR="009127DD" w:rsidRDefault="009127DD" w:rsidP="009127DD">
      <w:pPr>
        <w:widowControl w:val="0"/>
        <w:autoSpaceDE w:val="0"/>
        <w:autoSpaceDN w:val="0"/>
        <w:adjustRightInd w:val="0"/>
        <w:rPr>
          <w:rFonts w:ascii="Arial" w:hAnsi="Arial" w:cs="Arial"/>
          <w:color w:val="1A1A1A"/>
          <w:sz w:val="26"/>
          <w:szCs w:val="26"/>
        </w:rPr>
      </w:pPr>
      <w:hyperlink r:id="rId19" w:history="1">
        <w:r>
          <w:rPr>
            <w:rFonts w:ascii="Times New Roman" w:hAnsi="Times New Roman" w:cs="Times New Roman"/>
            <w:color w:val="1B48B7"/>
            <w:sz w:val="32"/>
            <w:szCs w:val="32"/>
            <w:u w:val="single" w:color="1B48B7"/>
          </w:rPr>
          <w:t>Back to top</w:t>
        </w:r>
      </w:hyperlink>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B48B7"/>
          <w:sz w:val="32"/>
          <w:szCs w:val="32"/>
        </w:rPr>
        <w:t>B</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Balanced and Representative Work Force</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A work force whose composition at all levels approximates the composition of the relevant civilian labor force in terms of race, sex, and ethnicity.  For people with disabilities, absent civilian labor force data, a balanced and representative workforce approximates the level of federal representation (currently 7%).</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Bona Fide Occupational Qualification (BFOQ)</w:t>
      </w:r>
    </w:p>
    <w:p w:rsidR="009127DD" w:rsidRDefault="009127DD" w:rsidP="009127DD">
      <w:pPr>
        <w:widowControl w:val="0"/>
        <w:autoSpaceDE w:val="0"/>
        <w:autoSpaceDN w:val="0"/>
        <w:adjustRightInd w:val="0"/>
        <w:rPr>
          <w:rFonts w:ascii="Arial" w:hAnsi="Arial" w:cs="Arial"/>
          <w:color w:val="1A1A1A"/>
          <w:sz w:val="26"/>
          <w:szCs w:val="26"/>
        </w:rPr>
      </w:pPr>
      <w:proofErr w:type="gramStart"/>
      <w:r>
        <w:rPr>
          <w:rFonts w:ascii="Times New Roman" w:hAnsi="Times New Roman" w:cs="Times New Roman"/>
          <w:color w:val="1A1A1A"/>
          <w:sz w:val="32"/>
          <w:szCs w:val="32"/>
        </w:rPr>
        <w:t>A job requirement that permits an employer to legally discriminate on the basis of sex, age, religion, or national origin.</w:t>
      </w:r>
      <w:proofErr w:type="gramEnd"/>
      <w:r>
        <w:rPr>
          <w:rFonts w:ascii="Times New Roman" w:hAnsi="Times New Roman" w:cs="Times New Roman"/>
          <w:color w:val="1A1A1A"/>
          <w:sz w:val="32"/>
          <w:szCs w:val="32"/>
        </w:rPr>
        <w:t xml:space="preserve"> Such requirements are rare exceptions. For example, sex is a BFOQ for modeling dresses or working in a women’s locker room. Sex is not a BFOQ, however, for heavy physical work, since some women are physically powerful. Race and Color are never a BFOQ.</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Business Necessity</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If an employer’s practices or policies tend to adversely affect members of a protected class, then the employer must be able to demonstrate that the challenged practices effectively carry out the business purposes they are alleged to serve and that no alternative, nondiscriminatory practices can achieve the safe and efficient operation of its business.</w:t>
      </w:r>
    </w:p>
    <w:p w:rsidR="009127DD" w:rsidRDefault="009127DD" w:rsidP="009127DD">
      <w:pPr>
        <w:widowControl w:val="0"/>
        <w:autoSpaceDE w:val="0"/>
        <w:autoSpaceDN w:val="0"/>
        <w:adjustRightInd w:val="0"/>
        <w:rPr>
          <w:rFonts w:ascii="Arial" w:hAnsi="Arial" w:cs="Arial"/>
          <w:color w:val="1A1A1A"/>
          <w:sz w:val="26"/>
          <w:szCs w:val="26"/>
        </w:rPr>
      </w:pPr>
      <w:hyperlink r:id="rId20" w:history="1">
        <w:r>
          <w:rPr>
            <w:rFonts w:ascii="Times New Roman" w:hAnsi="Times New Roman" w:cs="Times New Roman"/>
            <w:color w:val="1B48B7"/>
            <w:sz w:val="32"/>
            <w:szCs w:val="32"/>
            <w:u w:val="single" w:color="1B48B7"/>
          </w:rPr>
          <w:t>Back to top</w:t>
        </w:r>
      </w:hyperlink>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B48B7"/>
          <w:sz w:val="32"/>
          <w:szCs w:val="32"/>
        </w:rPr>
        <w:t>C</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Civilian Labor Force (CLF)</w:t>
      </w:r>
    </w:p>
    <w:p w:rsidR="009127DD" w:rsidRDefault="009127DD" w:rsidP="009127DD">
      <w:pPr>
        <w:widowControl w:val="0"/>
        <w:autoSpaceDE w:val="0"/>
        <w:autoSpaceDN w:val="0"/>
        <w:adjustRightInd w:val="0"/>
        <w:rPr>
          <w:rFonts w:ascii="Arial" w:hAnsi="Arial" w:cs="Arial"/>
          <w:color w:val="1A1A1A"/>
          <w:sz w:val="26"/>
          <w:szCs w:val="26"/>
        </w:rPr>
      </w:pPr>
      <w:proofErr w:type="gramStart"/>
      <w:r>
        <w:rPr>
          <w:rFonts w:ascii="Times New Roman" w:hAnsi="Times New Roman" w:cs="Times New Roman"/>
          <w:color w:val="1A1A1A"/>
          <w:sz w:val="32"/>
          <w:szCs w:val="32"/>
        </w:rPr>
        <w:t>Persons, 16 years of age or over, excluding those in the Armed Forces, who are employed or seeking employment.</w:t>
      </w:r>
      <w:proofErr w:type="gramEnd"/>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Class Action Suit</w:t>
      </w:r>
    </w:p>
    <w:p w:rsidR="009127DD" w:rsidRDefault="009127DD" w:rsidP="009127DD">
      <w:pPr>
        <w:widowControl w:val="0"/>
        <w:autoSpaceDE w:val="0"/>
        <w:autoSpaceDN w:val="0"/>
        <w:adjustRightInd w:val="0"/>
        <w:rPr>
          <w:rFonts w:ascii="Arial" w:hAnsi="Arial" w:cs="Arial"/>
          <w:color w:val="1A1A1A"/>
          <w:sz w:val="26"/>
          <w:szCs w:val="26"/>
        </w:rPr>
      </w:pPr>
      <w:proofErr w:type="gramStart"/>
      <w:r>
        <w:rPr>
          <w:rFonts w:ascii="Times New Roman" w:hAnsi="Times New Roman" w:cs="Times New Roman"/>
          <w:color w:val="1A1A1A"/>
          <w:sz w:val="32"/>
          <w:szCs w:val="32"/>
        </w:rPr>
        <w:t>A court action on behalf of an affected class alleging an unlawful pattern of discrimination by an employer.</w:t>
      </w:r>
      <w:proofErr w:type="gramEnd"/>
      <w:r>
        <w:rPr>
          <w:rFonts w:ascii="Times New Roman" w:hAnsi="Times New Roman" w:cs="Times New Roman"/>
          <w:color w:val="1A1A1A"/>
          <w:sz w:val="32"/>
          <w:szCs w:val="32"/>
        </w:rPr>
        <w:t xml:space="preserve"> </w:t>
      </w:r>
      <w:proofErr w:type="gramStart"/>
      <w:r>
        <w:rPr>
          <w:rFonts w:ascii="Times New Roman" w:hAnsi="Times New Roman" w:cs="Times New Roman"/>
          <w:color w:val="1A1A1A"/>
          <w:sz w:val="32"/>
          <w:szCs w:val="32"/>
        </w:rPr>
        <w:t>A class action suit can be initiated by an individual, or a group of employees</w:t>
      </w:r>
      <w:proofErr w:type="gramEnd"/>
      <w:r>
        <w:rPr>
          <w:rFonts w:ascii="Times New Roman" w:hAnsi="Times New Roman" w:cs="Times New Roman"/>
          <w:color w:val="1A1A1A"/>
          <w:sz w:val="32"/>
          <w:szCs w:val="32"/>
        </w:rPr>
        <w:t>.</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Compliance</w:t>
      </w:r>
    </w:p>
    <w:p w:rsidR="009127DD" w:rsidRDefault="009127DD" w:rsidP="009127DD">
      <w:pPr>
        <w:widowControl w:val="0"/>
        <w:autoSpaceDE w:val="0"/>
        <w:autoSpaceDN w:val="0"/>
        <w:adjustRightInd w:val="0"/>
        <w:rPr>
          <w:rFonts w:ascii="Arial" w:hAnsi="Arial" w:cs="Arial"/>
          <w:color w:val="1A1A1A"/>
          <w:sz w:val="26"/>
          <w:szCs w:val="26"/>
        </w:rPr>
      </w:pPr>
      <w:proofErr w:type="gramStart"/>
      <w:r>
        <w:rPr>
          <w:rFonts w:ascii="Times New Roman" w:hAnsi="Times New Roman" w:cs="Times New Roman"/>
          <w:color w:val="1A1A1A"/>
          <w:sz w:val="32"/>
          <w:szCs w:val="32"/>
        </w:rPr>
        <w:t>The degree to which the Library of Congress service units carry out (comply with) their affirmative action plans.</w:t>
      </w:r>
      <w:proofErr w:type="gramEnd"/>
    </w:p>
    <w:p w:rsidR="009127DD" w:rsidRDefault="009127DD" w:rsidP="009127DD">
      <w:pPr>
        <w:widowControl w:val="0"/>
        <w:autoSpaceDE w:val="0"/>
        <w:autoSpaceDN w:val="0"/>
        <w:adjustRightInd w:val="0"/>
        <w:rPr>
          <w:rFonts w:ascii="Arial" w:hAnsi="Arial" w:cs="Arial"/>
          <w:color w:val="1A1A1A"/>
          <w:sz w:val="26"/>
          <w:szCs w:val="26"/>
        </w:rPr>
      </w:pPr>
      <w:hyperlink r:id="rId21" w:history="1">
        <w:r>
          <w:rPr>
            <w:rFonts w:ascii="Times New Roman" w:hAnsi="Times New Roman" w:cs="Times New Roman"/>
            <w:color w:val="1B48B7"/>
            <w:sz w:val="32"/>
            <w:szCs w:val="32"/>
            <w:u w:val="single" w:color="1B48B7"/>
          </w:rPr>
          <w:t>Back to top</w:t>
        </w:r>
      </w:hyperlink>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B48B7"/>
          <w:sz w:val="32"/>
          <w:szCs w:val="32"/>
        </w:rPr>
        <w:t>D</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Disability</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 xml:space="preserve">A physical or mental </w:t>
      </w:r>
      <w:proofErr w:type="gramStart"/>
      <w:r>
        <w:rPr>
          <w:rFonts w:ascii="Times New Roman" w:hAnsi="Times New Roman" w:cs="Times New Roman"/>
          <w:color w:val="1A1A1A"/>
          <w:sz w:val="32"/>
          <w:szCs w:val="32"/>
        </w:rPr>
        <w:t>impairment which</w:t>
      </w:r>
      <w:proofErr w:type="gramEnd"/>
      <w:r>
        <w:rPr>
          <w:rFonts w:ascii="Times New Roman" w:hAnsi="Times New Roman" w:cs="Times New Roman"/>
          <w:color w:val="1A1A1A"/>
          <w:sz w:val="32"/>
          <w:szCs w:val="32"/>
        </w:rPr>
        <w:t xml:space="preserve"> substantially limits one or more major life activities.</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Disabled Veteran</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A person whose discharge or release from active duty was for a disability incurred or aggravated in the line of duty and who is entitled to 30% (thirty percent) disability compensation under the laws administered by the Department of Veteran’s Affairs.</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Discrimination</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A biased action based on a prejudice against an individual or group characterized by race, color, sex, sexual orientation, age, disability, religion, or national origin.</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Disparate Impact</w:t>
      </w:r>
    </w:p>
    <w:p w:rsidR="009127DD" w:rsidRDefault="009127DD" w:rsidP="009127DD">
      <w:pPr>
        <w:widowControl w:val="0"/>
        <w:autoSpaceDE w:val="0"/>
        <w:autoSpaceDN w:val="0"/>
        <w:adjustRightInd w:val="0"/>
        <w:rPr>
          <w:rFonts w:ascii="Arial" w:hAnsi="Arial" w:cs="Arial"/>
          <w:color w:val="1A1A1A"/>
          <w:sz w:val="26"/>
          <w:szCs w:val="26"/>
        </w:rPr>
      </w:pPr>
      <w:proofErr w:type="gramStart"/>
      <w:r>
        <w:rPr>
          <w:rFonts w:ascii="Times New Roman" w:hAnsi="Times New Roman" w:cs="Times New Roman"/>
          <w:color w:val="1A1A1A"/>
          <w:sz w:val="32"/>
          <w:szCs w:val="32"/>
        </w:rPr>
        <w:t>Under Equal Employment Opportunity (EEO) law, a significantly less favorable effect for one group when compared to another.</w:t>
      </w:r>
      <w:proofErr w:type="gramEnd"/>
      <w:r>
        <w:rPr>
          <w:rFonts w:ascii="Times New Roman" w:hAnsi="Times New Roman" w:cs="Times New Roman"/>
          <w:color w:val="1A1A1A"/>
          <w:sz w:val="32"/>
          <w:szCs w:val="32"/>
        </w:rPr>
        <w:t xml:space="preserve"> Most often disparate impact results when rules applied to all employees have a vastly different and more inhibiting effect on women and minority groups than on the majority. For example, nonessential educational requirements for certain jobs can have a disparate impact on minority groups, as they are often more limited in the attainment of some educational opportunities.</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Disparate Treatment</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Occurs when an employer or selecting official intentionally excludes individuals from an employment opportunity on the basis of race, color, religion, sex, age, sexual orientation, national origin, or disability. Evidence of exclusion need not be embodied in employer’s employment policies or practices however. Whenever similarly situated individuals of a different race, color, religion, sex, age, sexual orientation, national origin, or disability are accorded different treatment in the context of a similar employment situation, it maybe reasonable to infer (absent other evidence) that discrimination has occurred. The presence of a discriminatory motive can be inferred from the fact that there were significant differences in treatment.</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Diversity</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 xml:space="preserve">All of the ways in which employees differ, including innate characteristics (such as age, race, sex, ethnicity, national origin, mental or physical abilities, and sexual orientation) and acquired characteristics (such as education, socioeconomic status, religion, work experience, language skills, cultural values, geographic location, family status, organizational level, work style, philosophical and intellectual perspective, </w:t>
      </w:r>
      <w:proofErr w:type="spellStart"/>
      <w:r>
        <w:rPr>
          <w:rFonts w:ascii="Times New Roman" w:hAnsi="Times New Roman" w:cs="Times New Roman"/>
          <w:color w:val="1A1A1A"/>
          <w:sz w:val="32"/>
          <w:szCs w:val="32"/>
        </w:rPr>
        <w:t>etc</w:t>
      </w:r>
      <w:proofErr w:type="spellEnd"/>
      <w:r>
        <w:rPr>
          <w:rFonts w:ascii="Times New Roman" w:hAnsi="Times New Roman" w:cs="Times New Roman"/>
          <w:color w:val="1A1A1A"/>
          <w:sz w:val="32"/>
          <w:szCs w:val="32"/>
        </w:rPr>
        <w:t>).</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Diversity Management</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A process intended to create and maintain a positive work environment where the similarities and differences of individuals are valued and respected, so that all can reach their potential and maximize their contributions to the Library of Congress strategic goals and objectives.</w:t>
      </w:r>
    </w:p>
    <w:p w:rsidR="009127DD" w:rsidRDefault="009127DD" w:rsidP="009127DD">
      <w:pPr>
        <w:widowControl w:val="0"/>
        <w:autoSpaceDE w:val="0"/>
        <w:autoSpaceDN w:val="0"/>
        <w:adjustRightInd w:val="0"/>
        <w:rPr>
          <w:rFonts w:ascii="Arial" w:hAnsi="Arial" w:cs="Arial"/>
          <w:color w:val="1A1A1A"/>
          <w:sz w:val="26"/>
          <w:szCs w:val="26"/>
        </w:rPr>
      </w:pPr>
      <w:hyperlink r:id="rId22" w:history="1">
        <w:r>
          <w:rPr>
            <w:rFonts w:ascii="Times New Roman" w:hAnsi="Times New Roman" w:cs="Times New Roman"/>
            <w:color w:val="1B48B7"/>
            <w:sz w:val="32"/>
            <w:szCs w:val="32"/>
            <w:u w:val="single" w:color="1B48B7"/>
          </w:rPr>
          <w:t>Back to top</w:t>
        </w:r>
      </w:hyperlink>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B48B7"/>
          <w:sz w:val="32"/>
          <w:szCs w:val="32"/>
        </w:rPr>
        <w:t>E</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EEOC Guidelines</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Interpretations of Title VII and other employment related civil rights laws expressed by the Equal Employment Opportunity Commission that don’t have the force of law but tend to be supported by the courts. These positions are outlined in various EEOC publications, such as opinion letters, directives and policy statements.</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Equal Opportunity</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Unbiased treatment based on merit regardless of race, color, religion, sex, age, sexual orientation, national origin, or disability.</w:t>
      </w:r>
    </w:p>
    <w:p w:rsidR="009127DD" w:rsidRDefault="009127DD" w:rsidP="009127DD">
      <w:pPr>
        <w:widowControl w:val="0"/>
        <w:autoSpaceDE w:val="0"/>
        <w:autoSpaceDN w:val="0"/>
        <w:adjustRightInd w:val="0"/>
        <w:rPr>
          <w:rFonts w:ascii="Arial" w:hAnsi="Arial" w:cs="Arial"/>
          <w:color w:val="1A1A1A"/>
          <w:sz w:val="26"/>
          <w:szCs w:val="26"/>
        </w:rPr>
      </w:pPr>
      <w:hyperlink r:id="rId23" w:history="1">
        <w:r>
          <w:rPr>
            <w:rFonts w:ascii="Times New Roman" w:hAnsi="Times New Roman" w:cs="Times New Roman"/>
            <w:color w:val="1B48B7"/>
            <w:sz w:val="32"/>
            <w:szCs w:val="32"/>
            <w:u w:val="single" w:color="1B48B7"/>
          </w:rPr>
          <w:t>Back to top</w:t>
        </w:r>
      </w:hyperlink>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B48B7"/>
          <w:sz w:val="32"/>
          <w:szCs w:val="32"/>
        </w:rPr>
        <w:t>G</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Goals</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As part of diversity management plan, goals to eliminate employment discrimination and effects of past discrimination are required. Goals are specific, temporary and flexible.</w:t>
      </w:r>
    </w:p>
    <w:p w:rsidR="009127DD" w:rsidRDefault="009127DD" w:rsidP="009127DD">
      <w:pPr>
        <w:widowControl w:val="0"/>
        <w:autoSpaceDE w:val="0"/>
        <w:autoSpaceDN w:val="0"/>
        <w:adjustRightInd w:val="0"/>
        <w:rPr>
          <w:rFonts w:ascii="Arial" w:hAnsi="Arial" w:cs="Arial"/>
          <w:color w:val="1A1A1A"/>
          <w:sz w:val="26"/>
          <w:szCs w:val="26"/>
        </w:rPr>
      </w:pPr>
      <w:hyperlink r:id="rId24" w:history="1">
        <w:r>
          <w:rPr>
            <w:rFonts w:ascii="Times New Roman" w:hAnsi="Times New Roman" w:cs="Times New Roman"/>
            <w:color w:val="1B48B7"/>
            <w:sz w:val="32"/>
            <w:szCs w:val="32"/>
            <w:u w:val="single" w:color="1B48B7"/>
          </w:rPr>
          <w:t>Back to top</w:t>
        </w:r>
      </w:hyperlink>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B48B7"/>
          <w:sz w:val="32"/>
          <w:szCs w:val="32"/>
        </w:rPr>
        <w:t>L</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Library Applicant Flow Data</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The Library may analyze data related to its applicants in the following areas:</w:t>
      </w:r>
    </w:p>
    <w:p w:rsidR="009127DD" w:rsidRDefault="009127DD" w:rsidP="009127DD">
      <w:pPr>
        <w:widowControl w:val="0"/>
        <w:numPr>
          <w:ilvl w:val="0"/>
          <w:numId w:val="2"/>
        </w:numPr>
        <w:tabs>
          <w:tab w:val="left" w:pos="220"/>
          <w:tab w:val="left" w:pos="720"/>
        </w:tabs>
        <w:autoSpaceDE w:val="0"/>
        <w:autoSpaceDN w:val="0"/>
        <w:adjustRightInd w:val="0"/>
        <w:ind w:hanging="720"/>
        <w:rPr>
          <w:rFonts w:ascii="Arial" w:hAnsi="Arial" w:cs="Arial"/>
          <w:color w:val="1A1A1A"/>
          <w:sz w:val="26"/>
          <w:szCs w:val="26"/>
        </w:rPr>
      </w:pPr>
      <w:proofErr w:type="gramStart"/>
      <w:r>
        <w:rPr>
          <w:rFonts w:ascii="Times New Roman" w:hAnsi="Times New Roman" w:cs="Times New Roman"/>
          <w:color w:val="1A1A1A"/>
          <w:sz w:val="32"/>
          <w:szCs w:val="32"/>
        </w:rPr>
        <w:t>date</w:t>
      </w:r>
      <w:proofErr w:type="gramEnd"/>
      <w:r>
        <w:rPr>
          <w:rFonts w:ascii="Times New Roman" w:hAnsi="Times New Roman" w:cs="Times New Roman"/>
          <w:color w:val="1A1A1A"/>
          <w:sz w:val="32"/>
          <w:szCs w:val="32"/>
        </w:rPr>
        <w:t xml:space="preserve"> application was received</w:t>
      </w:r>
    </w:p>
    <w:p w:rsidR="009127DD" w:rsidRDefault="009127DD" w:rsidP="009127DD">
      <w:pPr>
        <w:widowControl w:val="0"/>
        <w:numPr>
          <w:ilvl w:val="0"/>
          <w:numId w:val="2"/>
        </w:numPr>
        <w:tabs>
          <w:tab w:val="left" w:pos="220"/>
          <w:tab w:val="left" w:pos="720"/>
        </w:tabs>
        <w:autoSpaceDE w:val="0"/>
        <w:autoSpaceDN w:val="0"/>
        <w:adjustRightInd w:val="0"/>
        <w:ind w:hanging="720"/>
        <w:rPr>
          <w:rFonts w:ascii="Arial" w:hAnsi="Arial" w:cs="Arial"/>
          <w:color w:val="1A1A1A"/>
          <w:sz w:val="26"/>
          <w:szCs w:val="26"/>
        </w:rPr>
      </w:pPr>
      <w:proofErr w:type="gramStart"/>
      <w:r>
        <w:rPr>
          <w:rFonts w:ascii="Times New Roman" w:hAnsi="Times New Roman" w:cs="Times New Roman"/>
          <w:color w:val="1A1A1A"/>
          <w:sz w:val="32"/>
          <w:szCs w:val="32"/>
        </w:rPr>
        <w:t>name</w:t>
      </w:r>
      <w:proofErr w:type="gramEnd"/>
      <w:r>
        <w:rPr>
          <w:rFonts w:ascii="Times New Roman" w:hAnsi="Times New Roman" w:cs="Times New Roman"/>
          <w:color w:val="1A1A1A"/>
          <w:sz w:val="32"/>
          <w:szCs w:val="32"/>
        </w:rPr>
        <w:t xml:space="preserve"> of applicant</w:t>
      </w:r>
    </w:p>
    <w:p w:rsidR="009127DD" w:rsidRDefault="009127DD" w:rsidP="009127DD">
      <w:pPr>
        <w:widowControl w:val="0"/>
        <w:numPr>
          <w:ilvl w:val="0"/>
          <w:numId w:val="2"/>
        </w:numPr>
        <w:tabs>
          <w:tab w:val="left" w:pos="220"/>
          <w:tab w:val="left" w:pos="720"/>
        </w:tabs>
        <w:autoSpaceDE w:val="0"/>
        <w:autoSpaceDN w:val="0"/>
        <w:adjustRightInd w:val="0"/>
        <w:ind w:hanging="720"/>
        <w:rPr>
          <w:rFonts w:ascii="Arial" w:hAnsi="Arial" w:cs="Arial"/>
          <w:color w:val="1A1A1A"/>
          <w:sz w:val="26"/>
          <w:szCs w:val="26"/>
        </w:rPr>
      </w:pPr>
      <w:proofErr w:type="gramStart"/>
      <w:r>
        <w:rPr>
          <w:rFonts w:ascii="Times New Roman" w:hAnsi="Times New Roman" w:cs="Times New Roman"/>
          <w:color w:val="1A1A1A"/>
          <w:sz w:val="32"/>
          <w:szCs w:val="32"/>
        </w:rPr>
        <w:t>position</w:t>
      </w:r>
      <w:proofErr w:type="gramEnd"/>
      <w:r>
        <w:rPr>
          <w:rFonts w:ascii="Times New Roman" w:hAnsi="Times New Roman" w:cs="Times New Roman"/>
          <w:color w:val="1A1A1A"/>
          <w:sz w:val="32"/>
          <w:szCs w:val="32"/>
        </w:rPr>
        <w:t xml:space="preserve"> applied for</w:t>
      </w:r>
    </w:p>
    <w:p w:rsidR="009127DD" w:rsidRDefault="009127DD" w:rsidP="009127DD">
      <w:pPr>
        <w:widowControl w:val="0"/>
        <w:numPr>
          <w:ilvl w:val="0"/>
          <w:numId w:val="2"/>
        </w:numPr>
        <w:tabs>
          <w:tab w:val="left" w:pos="220"/>
          <w:tab w:val="left" w:pos="720"/>
        </w:tabs>
        <w:autoSpaceDE w:val="0"/>
        <w:autoSpaceDN w:val="0"/>
        <w:adjustRightInd w:val="0"/>
        <w:ind w:hanging="720"/>
        <w:rPr>
          <w:rFonts w:ascii="Arial" w:hAnsi="Arial" w:cs="Arial"/>
          <w:color w:val="1A1A1A"/>
          <w:sz w:val="26"/>
          <w:szCs w:val="26"/>
        </w:rPr>
      </w:pPr>
      <w:proofErr w:type="gramStart"/>
      <w:r>
        <w:rPr>
          <w:rFonts w:ascii="Times New Roman" w:hAnsi="Times New Roman" w:cs="Times New Roman"/>
          <w:color w:val="1A1A1A"/>
          <w:sz w:val="32"/>
          <w:szCs w:val="32"/>
        </w:rPr>
        <w:t>job</w:t>
      </w:r>
      <w:proofErr w:type="gramEnd"/>
      <w:r>
        <w:rPr>
          <w:rFonts w:ascii="Times New Roman" w:hAnsi="Times New Roman" w:cs="Times New Roman"/>
          <w:color w:val="1A1A1A"/>
          <w:sz w:val="32"/>
          <w:szCs w:val="32"/>
        </w:rPr>
        <w:t xml:space="preserve"> series</w:t>
      </w:r>
    </w:p>
    <w:p w:rsidR="009127DD" w:rsidRDefault="009127DD" w:rsidP="009127DD">
      <w:pPr>
        <w:widowControl w:val="0"/>
        <w:numPr>
          <w:ilvl w:val="0"/>
          <w:numId w:val="2"/>
        </w:numPr>
        <w:tabs>
          <w:tab w:val="left" w:pos="220"/>
          <w:tab w:val="left" w:pos="720"/>
        </w:tabs>
        <w:autoSpaceDE w:val="0"/>
        <w:autoSpaceDN w:val="0"/>
        <w:adjustRightInd w:val="0"/>
        <w:ind w:hanging="720"/>
        <w:rPr>
          <w:rFonts w:ascii="Arial" w:hAnsi="Arial" w:cs="Arial"/>
          <w:color w:val="1A1A1A"/>
          <w:sz w:val="26"/>
          <w:szCs w:val="26"/>
        </w:rPr>
      </w:pPr>
      <w:proofErr w:type="gramStart"/>
      <w:r>
        <w:rPr>
          <w:rFonts w:ascii="Times New Roman" w:hAnsi="Times New Roman" w:cs="Times New Roman"/>
          <w:color w:val="1A1A1A"/>
          <w:sz w:val="32"/>
          <w:szCs w:val="32"/>
        </w:rPr>
        <w:t>race</w:t>
      </w:r>
      <w:proofErr w:type="gramEnd"/>
      <w:r>
        <w:rPr>
          <w:rFonts w:ascii="Times New Roman" w:hAnsi="Times New Roman" w:cs="Times New Roman"/>
          <w:color w:val="1A1A1A"/>
          <w:sz w:val="32"/>
          <w:szCs w:val="32"/>
        </w:rPr>
        <w:t>, sex, national origin, and/or disability status of the applicant</w:t>
      </w:r>
    </w:p>
    <w:p w:rsidR="009127DD" w:rsidRDefault="009127DD" w:rsidP="009127DD">
      <w:pPr>
        <w:widowControl w:val="0"/>
        <w:numPr>
          <w:ilvl w:val="0"/>
          <w:numId w:val="2"/>
        </w:numPr>
        <w:tabs>
          <w:tab w:val="left" w:pos="220"/>
          <w:tab w:val="left" w:pos="720"/>
        </w:tabs>
        <w:autoSpaceDE w:val="0"/>
        <w:autoSpaceDN w:val="0"/>
        <w:adjustRightInd w:val="0"/>
        <w:ind w:hanging="720"/>
        <w:rPr>
          <w:rFonts w:ascii="Arial" w:hAnsi="Arial" w:cs="Arial"/>
          <w:color w:val="1A1A1A"/>
          <w:sz w:val="26"/>
          <w:szCs w:val="26"/>
        </w:rPr>
      </w:pPr>
      <w:proofErr w:type="gramStart"/>
      <w:r>
        <w:rPr>
          <w:rFonts w:ascii="Times New Roman" w:hAnsi="Times New Roman" w:cs="Times New Roman"/>
          <w:color w:val="1A1A1A"/>
          <w:sz w:val="32"/>
          <w:szCs w:val="32"/>
        </w:rPr>
        <w:t>whether</w:t>
      </w:r>
      <w:proofErr w:type="gramEnd"/>
      <w:r>
        <w:rPr>
          <w:rFonts w:ascii="Times New Roman" w:hAnsi="Times New Roman" w:cs="Times New Roman"/>
          <w:color w:val="1A1A1A"/>
          <w:sz w:val="32"/>
          <w:szCs w:val="32"/>
        </w:rPr>
        <w:t xml:space="preserve"> the applicant was selected or rejected</w:t>
      </w:r>
    </w:p>
    <w:p w:rsidR="009127DD" w:rsidRDefault="009127DD" w:rsidP="009127DD">
      <w:pPr>
        <w:widowControl w:val="0"/>
        <w:numPr>
          <w:ilvl w:val="0"/>
          <w:numId w:val="2"/>
        </w:numPr>
        <w:tabs>
          <w:tab w:val="left" w:pos="220"/>
          <w:tab w:val="left" w:pos="720"/>
        </w:tabs>
        <w:autoSpaceDE w:val="0"/>
        <w:autoSpaceDN w:val="0"/>
        <w:adjustRightInd w:val="0"/>
        <w:ind w:hanging="720"/>
        <w:rPr>
          <w:rFonts w:ascii="Arial" w:hAnsi="Arial" w:cs="Arial"/>
          <w:color w:val="1A1A1A"/>
          <w:sz w:val="26"/>
          <w:szCs w:val="26"/>
        </w:rPr>
      </w:pPr>
      <w:proofErr w:type="gramStart"/>
      <w:r>
        <w:rPr>
          <w:rFonts w:ascii="Times New Roman" w:hAnsi="Times New Roman" w:cs="Times New Roman"/>
          <w:color w:val="1A1A1A"/>
          <w:sz w:val="32"/>
          <w:szCs w:val="32"/>
        </w:rPr>
        <w:t>if</w:t>
      </w:r>
      <w:proofErr w:type="gramEnd"/>
      <w:r>
        <w:rPr>
          <w:rFonts w:ascii="Times New Roman" w:hAnsi="Times New Roman" w:cs="Times New Roman"/>
          <w:color w:val="1A1A1A"/>
          <w:sz w:val="32"/>
          <w:szCs w:val="32"/>
        </w:rPr>
        <w:t xml:space="preserve"> the applicant was selected, the date of hire</w:t>
      </w:r>
    </w:p>
    <w:p w:rsidR="009127DD" w:rsidRDefault="009127DD" w:rsidP="009127DD">
      <w:pPr>
        <w:widowControl w:val="0"/>
        <w:autoSpaceDE w:val="0"/>
        <w:autoSpaceDN w:val="0"/>
        <w:adjustRightInd w:val="0"/>
        <w:rPr>
          <w:rFonts w:ascii="Arial" w:hAnsi="Arial" w:cs="Arial"/>
          <w:color w:val="1A1A1A"/>
          <w:sz w:val="26"/>
          <w:szCs w:val="26"/>
        </w:rPr>
      </w:pPr>
      <w:proofErr w:type="gramStart"/>
      <w:r>
        <w:rPr>
          <w:rFonts w:ascii="Times New Roman" w:hAnsi="Times New Roman" w:cs="Times New Roman"/>
          <w:color w:val="1A1A1A"/>
          <w:sz w:val="32"/>
          <w:szCs w:val="32"/>
        </w:rPr>
        <w:t>if</w:t>
      </w:r>
      <w:proofErr w:type="gramEnd"/>
      <w:r>
        <w:rPr>
          <w:rFonts w:ascii="Times New Roman" w:hAnsi="Times New Roman" w:cs="Times New Roman"/>
          <w:color w:val="1A1A1A"/>
          <w:sz w:val="32"/>
          <w:szCs w:val="32"/>
        </w:rPr>
        <w:t xml:space="preserve"> the applicant was not selected, the reason for non-selection</w:t>
      </w:r>
    </w:p>
    <w:p w:rsidR="009127DD" w:rsidRDefault="009127DD" w:rsidP="009127DD">
      <w:pPr>
        <w:widowControl w:val="0"/>
        <w:autoSpaceDE w:val="0"/>
        <w:autoSpaceDN w:val="0"/>
        <w:adjustRightInd w:val="0"/>
        <w:rPr>
          <w:rFonts w:ascii="Arial" w:hAnsi="Arial" w:cs="Arial"/>
          <w:color w:val="1A1A1A"/>
          <w:sz w:val="26"/>
          <w:szCs w:val="26"/>
        </w:rPr>
      </w:pPr>
      <w:hyperlink r:id="rId25" w:history="1">
        <w:r>
          <w:rPr>
            <w:rFonts w:ascii="Times New Roman" w:hAnsi="Times New Roman" w:cs="Times New Roman"/>
            <w:color w:val="1B48B7"/>
            <w:sz w:val="32"/>
            <w:szCs w:val="32"/>
            <w:u w:val="single" w:color="1B48B7"/>
          </w:rPr>
          <w:t>Back to top</w:t>
        </w:r>
      </w:hyperlink>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B48B7"/>
          <w:sz w:val="32"/>
          <w:szCs w:val="32"/>
        </w:rPr>
        <w:t>P</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Parity</w:t>
      </w:r>
    </w:p>
    <w:p w:rsidR="009127DD" w:rsidRDefault="009127DD" w:rsidP="009127DD">
      <w:pPr>
        <w:widowControl w:val="0"/>
        <w:autoSpaceDE w:val="0"/>
        <w:autoSpaceDN w:val="0"/>
        <w:adjustRightInd w:val="0"/>
        <w:rPr>
          <w:rFonts w:ascii="Arial" w:hAnsi="Arial" w:cs="Arial"/>
          <w:color w:val="1A1A1A"/>
          <w:sz w:val="26"/>
          <w:szCs w:val="26"/>
        </w:rPr>
      </w:pPr>
      <w:proofErr w:type="gramStart"/>
      <w:r>
        <w:rPr>
          <w:rFonts w:ascii="Times New Roman" w:hAnsi="Times New Roman" w:cs="Times New Roman"/>
          <w:color w:val="1A1A1A"/>
          <w:sz w:val="32"/>
          <w:szCs w:val="32"/>
        </w:rPr>
        <w:t>A statistically insignificant difference between the Library of Congress representation of various groups (in various job series and GS levels) and the relevant labor force.</w:t>
      </w:r>
      <w:proofErr w:type="gramEnd"/>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Present Effect of Past Practices</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The concept of present effects of past practices means that employers are liable today for events and decisions of the past. When past discriminatory practices prevent women and minorities from acquiring the necessary experience or skills to be promoted or to do certain jobs, a court could determine them to be suffering the present effects of past discrimination.</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Protected Class</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 xml:space="preserve">Any group (or member of that group) specified in, and therefore protected by, the anti-discrimination laws. The anti­discrimination laws protect individuals from discrimination because of age, color, disability, national origin, race, religion, or sex.  White employees are also protected from </w:t>
      </w:r>
      <w:proofErr w:type="gramStart"/>
      <w:r>
        <w:rPr>
          <w:rFonts w:ascii="Times New Roman" w:hAnsi="Times New Roman" w:cs="Times New Roman"/>
          <w:color w:val="1A1A1A"/>
          <w:sz w:val="32"/>
          <w:szCs w:val="32"/>
        </w:rPr>
        <w:t>race based</w:t>
      </w:r>
      <w:proofErr w:type="gramEnd"/>
      <w:r>
        <w:rPr>
          <w:rFonts w:ascii="Times New Roman" w:hAnsi="Times New Roman" w:cs="Times New Roman"/>
          <w:color w:val="1A1A1A"/>
          <w:sz w:val="32"/>
          <w:szCs w:val="32"/>
        </w:rPr>
        <w:t xml:space="preserve"> discrimination.</w:t>
      </w:r>
    </w:p>
    <w:p w:rsidR="009127DD" w:rsidRDefault="009127DD" w:rsidP="009127DD">
      <w:pPr>
        <w:widowControl w:val="0"/>
        <w:autoSpaceDE w:val="0"/>
        <w:autoSpaceDN w:val="0"/>
        <w:adjustRightInd w:val="0"/>
        <w:rPr>
          <w:rFonts w:ascii="Arial" w:hAnsi="Arial" w:cs="Arial"/>
          <w:color w:val="1A1A1A"/>
          <w:sz w:val="26"/>
          <w:szCs w:val="26"/>
        </w:rPr>
      </w:pPr>
      <w:hyperlink r:id="rId26" w:history="1">
        <w:r>
          <w:rPr>
            <w:rFonts w:ascii="Times New Roman" w:hAnsi="Times New Roman" w:cs="Times New Roman"/>
            <w:color w:val="1B48B7"/>
            <w:sz w:val="32"/>
            <w:szCs w:val="32"/>
            <w:u w:val="single" w:color="1B48B7"/>
          </w:rPr>
          <w:t>Back to top</w:t>
        </w:r>
      </w:hyperlink>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B48B7"/>
          <w:sz w:val="32"/>
          <w:szCs w:val="32"/>
        </w:rPr>
        <w:t>R</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Reasonable Accommodations</w:t>
      </w:r>
    </w:p>
    <w:p w:rsidR="009127DD" w:rsidRDefault="009127DD" w:rsidP="009127DD">
      <w:pPr>
        <w:widowControl w:val="0"/>
        <w:numPr>
          <w:ilvl w:val="0"/>
          <w:numId w:val="3"/>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32"/>
          <w:szCs w:val="32"/>
        </w:rPr>
        <w:t>Used in connection with application and employment disabled persons. If a disabled employee or applicant has the skills necessary to apply for or perform a job, the Library of Congress must make reasonable accommodations to the physical environment, equipment, schedules, or procedures that would enable the individual to function in the position, or during the application process, unless to do so causes undue hardship for the Library of Congress</w:t>
      </w:r>
      <w:proofErr w:type="gramStart"/>
      <w:r>
        <w:rPr>
          <w:rFonts w:ascii="Times New Roman" w:hAnsi="Times New Roman" w:cs="Times New Roman"/>
          <w:color w:val="1A1A1A"/>
          <w:sz w:val="32"/>
          <w:szCs w:val="32"/>
        </w:rPr>
        <w:t>..</w:t>
      </w:r>
      <w:proofErr w:type="gramEnd"/>
    </w:p>
    <w:p w:rsidR="009127DD" w:rsidRDefault="009127DD" w:rsidP="009127DD">
      <w:pPr>
        <w:widowControl w:val="0"/>
        <w:numPr>
          <w:ilvl w:val="0"/>
          <w:numId w:val="3"/>
        </w:numPr>
        <w:tabs>
          <w:tab w:val="left" w:pos="220"/>
          <w:tab w:val="left" w:pos="720"/>
        </w:tabs>
        <w:autoSpaceDE w:val="0"/>
        <w:autoSpaceDN w:val="0"/>
        <w:adjustRightInd w:val="0"/>
        <w:ind w:hanging="720"/>
        <w:rPr>
          <w:rFonts w:ascii="Arial" w:hAnsi="Arial" w:cs="Arial"/>
          <w:color w:val="1A1A1A"/>
          <w:sz w:val="26"/>
          <w:szCs w:val="26"/>
        </w:rPr>
      </w:pPr>
      <w:r>
        <w:rPr>
          <w:rFonts w:ascii="Times New Roman" w:hAnsi="Times New Roman" w:cs="Times New Roman"/>
          <w:color w:val="1A1A1A"/>
          <w:sz w:val="32"/>
          <w:szCs w:val="32"/>
        </w:rPr>
        <w:t>Used in connection with discrimination because of religion. If an employee needs to be absent for religious reasons, the Library of Congress must make reasonable accommodation to grant the employee that absence – even though it may conflict with, or differ from the normal schedules, standards, or other work conditions, unless to do so causes undue hardship for the Library of Congress.</w:t>
      </w:r>
    </w:p>
    <w:p w:rsidR="009127DD" w:rsidRDefault="009127DD" w:rsidP="009127DD">
      <w:pPr>
        <w:widowControl w:val="0"/>
        <w:autoSpaceDE w:val="0"/>
        <w:autoSpaceDN w:val="0"/>
        <w:adjustRightInd w:val="0"/>
        <w:rPr>
          <w:rFonts w:ascii="Arial" w:hAnsi="Arial" w:cs="Arial"/>
          <w:color w:val="1A1A1A"/>
          <w:sz w:val="26"/>
          <w:szCs w:val="26"/>
        </w:rPr>
      </w:pPr>
      <w:hyperlink r:id="rId27" w:history="1">
        <w:r>
          <w:rPr>
            <w:rFonts w:ascii="Times New Roman" w:hAnsi="Times New Roman" w:cs="Times New Roman"/>
            <w:color w:val="1B48B7"/>
            <w:sz w:val="32"/>
            <w:szCs w:val="32"/>
            <w:u w:val="single" w:color="1B48B7"/>
          </w:rPr>
          <w:t>Back to top</w:t>
        </w:r>
      </w:hyperlink>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B48B7"/>
          <w:sz w:val="32"/>
          <w:szCs w:val="32"/>
        </w:rPr>
        <w:t>S</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Selection Process</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Steps involved in employment or promotion decisions. Generally includes initial screening interviews; filling out applications; background and/or reference checks; actual interview for employment; and decision whether or not to hire or promote the individual.  The Library of Congress merit selection guidance is one type of selection process.</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Special Emphasis</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Proactive efforts such as targeted recruitment and outreach intended to expand the pool of diverse job candidates.</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Systemic Discrimination</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Does not involve any specific action against an individual employee or class of employees, but refers to personnel practices that have a discriminatory effect. Such policies and/or procedures can exist over a long period of time and affect hundreds of people and yet not be obvious.</w:t>
      </w:r>
    </w:p>
    <w:p w:rsidR="009127DD" w:rsidRDefault="009127DD" w:rsidP="009127DD">
      <w:pPr>
        <w:widowControl w:val="0"/>
        <w:autoSpaceDE w:val="0"/>
        <w:autoSpaceDN w:val="0"/>
        <w:adjustRightInd w:val="0"/>
        <w:rPr>
          <w:rFonts w:ascii="Arial" w:hAnsi="Arial" w:cs="Arial"/>
          <w:color w:val="1A1A1A"/>
          <w:sz w:val="26"/>
          <w:szCs w:val="26"/>
        </w:rPr>
      </w:pPr>
      <w:hyperlink r:id="rId28" w:history="1">
        <w:r>
          <w:rPr>
            <w:rFonts w:ascii="Times New Roman" w:hAnsi="Times New Roman" w:cs="Times New Roman"/>
            <w:color w:val="1B48B7"/>
            <w:sz w:val="32"/>
            <w:szCs w:val="32"/>
            <w:u w:val="single" w:color="1B48B7"/>
          </w:rPr>
          <w:t>Back to top</w:t>
        </w:r>
      </w:hyperlink>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B48B7"/>
          <w:sz w:val="32"/>
          <w:szCs w:val="32"/>
        </w:rPr>
        <w:t>U</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Under-representation</w:t>
      </w:r>
    </w:p>
    <w:p w:rsidR="009127DD" w:rsidRDefault="009127DD" w:rsidP="009127DD">
      <w:pPr>
        <w:widowControl w:val="0"/>
        <w:autoSpaceDE w:val="0"/>
        <w:autoSpaceDN w:val="0"/>
        <w:adjustRightInd w:val="0"/>
        <w:rPr>
          <w:rFonts w:ascii="Arial" w:hAnsi="Arial" w:cs="Arial"/>
          <w:color w:val="1A1A1A"/>
          <w:sz w:val="26"/>
          <w:szCs w:val="26"/>
        </w:rPr>
      </w:pPr>
      <w:proofErr w:type="gramStart"/>
      <w:r>
        <w:rPr>
          <w:rFonts w:ascii="Times New Roman" w:hAnsi="Times New Roman" w:cs="Times New Roman"/>
          <w:color w:val="1A1A1A"/>
          <w:sz w:val="32"/>
          <w:szCs w:val="32"/>
        </w:rPr>
        <w:t>Substantial disparity of a particular group in the overall workforce, job series, grade level, or specific personnel action.</w:t>
      </w:r>
      <w:proofErr w:type="gramEnd"/>
      <w:r>
        <w:rPr>
          <w:rFonts w:ascii="Times New Roman" w:hAnsi="Times New Roman" w:cs="Times New Roman"/>
          <w:color w:val="1A1A1A"/>
          <w:sz w:val="32"/>
          <w:szCs w:val="32"/>
        </w:rPr>
        <w:t>  The term underrepresented is usually applied to the level women and minorities are present, but the term also includes white males.  The percentage of a group is compared to the relevant availability of that group in the civilian labor force (CLF). For example, suppose there are 100 GS-12s in a service unit</w:t>
      </w:r>
      <w:proofErr w:type="gramStart"/>
      <w:r>
        <w:rPr>
          <w:rFonts w:ascii="Times New Roman" w:hAnsi="Times New Roman" w:cs="Times New Roman"/>
          <w:color w:val="1A1A1A"/>
          <w:sz w:val="32"/>
          <w:szCs w:val="32"/>
        </w:rPr>
        <w:t>;</w:t>
      </w:r>
      <w:proofErr w:type="gramEnd"/>
      <w:r>
        <w:rPr>
          <w:rFonts w:ascii="Times New Roman" w:hAnsi="Times New Roman" w:cs="Times New Roman"/>
          <w:color w:val="1A1A1A"/>
          <w:sz w:val="32"/>
          <w:szCs w:val="32"/>
        </w:rPr>
        <w:t xml:space="preserve"> 3 of them (or 3 percent) are black. However, the black labor market for GS-12 positions in that particular job series is 15 percent. In this case, blacks are underrepresented at the GS -12 level.</w:t>
      </w:r>
    </w:p>
    <w:p w:rsidR="009127DD" w:rsidRDefault="009127DD" w:rsidP="009127DD">
      <w:pPr>
        <w:widowControl w:val="0"/>
        <w:autoSpaceDE w:val="0"/>
        <w:autoSpaceDN w:val="0"/>
        <w:adjustRightInd w:val="0"/>
        <w:rPr>
          <w:rFonts w:ascii="Arial" w:hAnsi="Arial" w:cs="Arial"/>
          <w:color w:val="1A1A1A"/>
          <w:sz w:val="26"/>
          <w:szCs w:val="26"/>
        </w:rPr>
      </w:pPr>
      <w:proofErr w:type="gramStart"/>
      <w:r>
        <w:rPr>
          <w:rFonts w:ascii="Times New Roman" w:hAnsi="Times New Roman" w:cs="Times New Roman"/>
          <w:b/>
          <w:bCs/>
          <w:color w:val="1A1A1A"/>
          <w:sz w:val="32"/>
          <w:szCs w:val="32"/>
        </w:rPr>
        <w:t>Undue</w:t>
      </w:r>
      <w:proofErr w:type="gramEnd"/>
      <w:r>
        <w:rPr>
          <w:rFonts w:ascii="Times New Roman" w:hAnsi="Times New Roman" w:cs="Times New Roman"/>
          <w:b/>
          <w:bCs/>
          <w:color w:val="1A1A1A"/>
          <w:sz w:val="32"/>
          <w:szCs w:val="32"/>
        </w:rPr>
        <w:t xml:space="preserve"> Hardship</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32"/>
          <w:szCs w:val="32"/>
        </w:rPr>
        <w:t>In order for the Library of Congress to legally refuse to accommodate an applicant’s or an employee’s disability or religious beliefs, the Library of Congress must be able to show that such accommodation would place a severe burden on the operation of the Library. (See Reasonable Accommodation.)</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Unlawful Employment Practice</w:t>
      </w:r>
    </w:p>
    <w:p w:rsidR="009127DD" w:rsidRDefault="009127DD" w:rsidP="009127DD">
      <w:pPr>
        <w:widowControl w:val="0"/>
        <w:autoSpaceDE w:val="0"/>
        <w:autoSpaceDN w:val="0"/>
        <w:adjustRightInd w:val="0"/>
        <w:rPr>
          <w:rFonts w:ascii="Arial" w:hAnsi="Arial" w:cs="Arial"/>
          <w:color w:val="1A1A1A"/>
          <w:sz w:val="26"/>
          <w:szCs w:val="26"/>
        </w:rPr>
      </w:pPr>
      <w:proofErr w:type="gramStart"/>
      <w:r>
        <w:rPr>
          <w:rFonts w:ascii="Times New Roman" w:hAnsi="Times New Roman" w:cs="Times New Roman"/>
          <w:color w:val="1A1A1A"/>
          <w:sz w:val="32"/>
          <w:szCs w:val="32"/>
        </w:rPr>
        <w:t>Any policy or practice that has discriminatory intent or effect.</w:t>
      </w:r>
      <w:proofErr w:type="gramEnd"/>
    </w:p>
    <w:p w:rsidR="009127DD" w:rsidRDefault="009127DD" w:rsidP="009127DD">
      <w:pPr>
        <w:widowControl w:val="0"/>
        <w:autoSpaceDE w:val="0"/>
        <w:autoSpaceDN w:val="0"/>
        <w:adjustRightInd w:val="0"/>
        <w:rPr>
          <w:rFonts w:ascii="Arial" w:hAnsi="Arial" w:cs="Arial"/>
          <w:color w:val="1A1A1A"/>
          <w:sz w:val="26"/>
          <w:szCs w:val="26"/>
        </w:rPr>
      </w:pPr>
      <w:hyperlink r:id="rId29" w:history="1">
        <w:r>
          <w:rPr>
            <w:rFonts w:ascii="Times New Roman" w:hAnsi="Times New Roman" w:cs="Times New Roman"/>
            <w:color w:val="1B48B7"/>
            <w:sz w:val="32"/>
            <w:szCs w:val="32"/>
            <w:u w:val="single" w:color="1B48B7"/>
          </w:rPr>
          <w:t>Back to top</w:t>
        </w:r>
      </w:hyperlink>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color w:val="1B48B7"/>
          <w:sz w:val="32"/>
          <w:szCs w:val="32"/>
        </w:rPr>
        <w:t>W</w:t>
      </w:r>
    </w:p>
    <w:p w:rsidR="009127DD" w:rsidRDefault="009127DD" w:rsidP="009127DD">
      <w:pPr>
        <w:widowControl w:val="0"/>
        <w:autoSpaceDE w:val="0"/>
        <w:autoSpaceDN w:val="0"/>
        <w:adjustRightInd w:val="0"/>
        <w:rPr>
          <w:rFonts w:ascii="Arial" w:hAnsi="Arial" w:cs="Arial"/>
          <w:color w:val="1A1A1A"/>
          <w:sz w:val="26"/>
          <w:szCs w:val="26"/>
        </w:rPr>
      </w:pPr>
      <w:r>
        <w:rPr>
          <w:rFonts w:ascii="Times New Roman" w:hAnsi="Times New Roman" w:cs="Times New Roman"/>
          <w:b/>
          <w:bCs/>
          <w:color w:val="1A1A1A"/>
          <w:sz w:val="32"/>
          <w:szCs w:val="32"/>
        </w:rPr>
        <w:t>Workforce Diversity</w:t>
      </w:r>
    </w:p>
    <w:p w:rsidR="008560E0" w:rsidRDefault="009127DD" w:rsidP="009127DD">
      <w:r>
        <w:rPr>
          <w:rFonts w:ascii="Times New Roman" w:hAnsi="Times New Roman" w:cs="Times New Roman"/>
          <w:color w:val="1A1A1A"/>
          <w:sz w:val="32"/>
          <w:szCs w:val="32"/>
        </w:rPr>
        <w:t>All of the ways individuals in the workforce can be different from one another, while accomplishing a common mission. This includes such factors as culture, race, color, ethnicity, sex, age, national origin, physical ability, religion, socioeconomic level, language, sexual orientation, politics, organizational philosophy, intelligence, occupational skills, education, etc. (See Diversity.)</w:t>
      </w:r>
    </w:p>
    <w:sectPr w:rsidR="008560E0" w:rsidSect="00F21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7DD"/>
    <w:rsid w:val="008560E0"/>
    <w:rsid w:val="009127DD"/>
    <w:rsid w:val="00F21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F05D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taff.loc.gov/sites/oic/glossary/#C" TargetMode="External"/><Relationship Id="rId20" Type="http://schemas.openxmlformats.org/officeDocument/2006/relationships/hyperlink" Target="http://staff.loc.gov/sites/oic/glossary/" TargetMode="External"/><Relationship Id="rId21" Type="http://schemas.openxmlformats.org/officeDocument/2006/relationships/hyperlink" Target="http://staff.loc.gov/sites/oic/glossary/" TargetMode="External"/><Relationship Id="rId22" Type="http://schemas.openxmlformats.org/officeDocument/2006/relationships/hyperlink" Target="http://staff.loc.gov/sites/oic/glossary/" TargetMode="External"/><Relationship Id="rId23" Type="http://schemas.openxmlformats.org/officeDocument/2006/relationships/hyperlink" Target="http://staff.loc.gov/sites/oic/glossary/" TargetMode="External"/><Relationship Id="rId24" Type="http://schemas.openxmlformats.org/officeDocument/2006/relationships/hyperlink" Target="http://staff.loc.gov/sites/oic/glossary/" TargetMode="External"/><Relationship Id="rId25" Type="http://schemas.openxmlformats.org/officeDocument/2006/relationships/hyperlink" Target="http://staff.loc.gov/sites/oic/glossary/" TargetMode="External"/><Relationship Id="rId26" Type="http://schemas.openxmlformats.org/officeDocument/2006/relationships/hyperlink" Target="http://staff.loc.gov/sites/oic/glossary/" TargetMode="External"/><Relationship Id="rId27" Type="http://schemas.openxmlformats.org/officeDocument/2006/relationships/hyperlink" Target="http://staff.loc.gov/sites/oic/glossary/" TargetMode="External"/><Relationship Id="rId28" Type="http://schemas.openxmlformats.org/officeDocument/2006/relationships/hyperlink" Target="http://staff.loc.gov/sites/oic/glossary/" TargetMode="External"/><Relationship Id="rId29" Type="http://schemas.openxmlformats.org/officeDocument/2006/relationships/hyperlink" Target="http://staff.loc.gov/sites/oic/glossary/"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staff.loc.gov/sites/oic/glossary/#D" TargetMode="External"/><Relationship Id="rId11" Type="http://schemas.openxmlformats.org/officeDocument/2006/relationships/hyperlink" Target="http://staff.loc.gov/sites/oic/glossary/#E" TargetMode="External"/><Relationship Id="rId12" Type="http://schemas.openxmlformats.org/officeDocument/2006/relationships/hyperlink" Target="http://staff.loc.gov/sites/oic/glossary/#G" TargetMode="External"/><Relationship Id="rId13" Type="http://schemas.openxmlformats.org/officeDocument/2006/relationships/hyperlink" Target="http://staff.loc.gov/sites/oic/glossary/#L" TargetMode="External"/><Relationship Id="rId14" Type="http://schemas.openxmlformats.org/officeDocument/2006/relationships/hyperlink" Target="http://staff.loc.gov/sites/oic/glossary/#P" TargetMode="External"/><Relationship Id="rId15" Type="http://schemas.openxmlformats.org/officeDocument/2006/relationships/hyperlink" Target="http://staff.loc.gov/sites/oic/glossary/#R" TargetMode="External"/><Relationship Id="rId16" Type="http://schemas.openxmlformats.org/officeDocument/2006/relationships/hyperlink" Target="http://staff.loc.gov/sites/oic/glossary/#S" TargetMode="External"/><Relationship Id="rId17" Type="http://schemas.openxmlformats.org/officeDocument/2006/relationships/hyperlink" Target="http://staff.loc.gov/sites/oic/glossary/#U" TargetMode="External"/><Relationship Id="rId18" Type="http://schemas.openxmlformats.org/officeDocument/2006/relationships/hyperlink" Target="http://staff.loc.gov/sites/oic/glossary/#W" TargetMode="External"/><Relationship Id="rId19" Type="http://schemas.openxmlformats.org/officeDocument/2006/relationships/hyperlink" Target="http://staff.loc.gov/sites/oic/glossary/"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aff.loc.gov/sites/oic/glossary/sites/oic/types-of-discrimination" TargetMode="External"/><Relationship Id="rId7" Type="http://schemas.openxmlformats.org/officeDocument/2006/relationships/hyperlink" Target="http://staff.loc.gov/sites/oic/glossary/#A" TargetMode="External"/><Relationship Id="rId8" Type="http://schemas.openxmlformats.org/officeDocument/2006/relationships/hyperlink" Target="http://staff.loc.gov/sites/oic/glossar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2001</Words>
  <Characters>11412</Characters>
  <Application>Microsoft Macintosh Word</Application>
  <DocSecurity>0</DocSecurity>
  <Lines>95</Lines>
  <Paragraphs>26</Paragraphs>
  <ScaleCrop>false</ScaleCrop>
  <Company/>
  <LinksUpToDate>false</LinksUpToDate>
  <CharactersWithSpaces>13387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Flynn</dc:creator>
  <cp:keywords/>
  <dc:description/>
  <cp:lastModifiedBy>Rosemary Flynn</cp:lastModifiedBy>
  <cp:revision>1</cp:revision>
  <dcterms:created xsi:type="dcterms:W3CDTF">2012-10-15T04:49:00Z</dcterms:created>
  <dcterms:modified xsi:type="dcterms:W3CDTF">2012-10-15T04:50:00Z</dcterms:modified>
</cp:coreProperties>
</file>